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035.0" w:type="dxa"/>
        <w:jc w:val="center"/>
        <w:tblLayout w:type="fixed"/>
        <w:tblLook w:val="0000"/>
      </w:tblPr>
      <w:tblGrid>
        <w:gridCol w:w="2700"/>
        <w:gridCol w:w="2940"/>
        <w:gridCol w:w="4395"/>
        <w:tblGridChange w:id="0">
          <w:tblGrid>
            <w:gridCol w:w="2700"/>
            <w:gridCol w:w="2940"/>
            <w:gridCol w:w="439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UNIDAD DE APOYO A LA GESTIÓN</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pPr>
            <w:r w:rsidDel="00000000" w:rsidR="00000000" w:rsidRPr="00000000">
              <w:rPr>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Secretaría del Deporte y la Recreación del proyecto denominado Conservación de la infraestructura deportiva y recreativa del distrito especial de Santiago de Cali BP - 26005399</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4162.010.26.1.4590-2025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ANTONIO JOSE MEJIA NARANJO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16738357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$10.890.000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12/NOV/2025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pPr>
            <w:r w:rsidDel="00000000" w:rsidR="00000000" w:rsidRPr="00000000">
              <w:rPr>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$ 2.178.000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9493880507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1898660341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APORTES EN LINEA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04/NOV/2025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OCTUBRE DE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(01)</w:t>
            </w:r>
          </w:p>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E">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tl w:val="0"/>
              </w:rPr>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Realizar informes estadísticos, definición de variables e indicadores en las actividades e investigaciones integradas en el Observatorio</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426"/>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 Realizar acciones de articulación de conocimiento con entidades de la administración distrital y organizaciones del sector.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Participar en la Mesa Interdisciplinaria de Trabajo para el análisis de la base de datos de infraestructura deportiva de la ciudad.</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rPr>
            </w:pPr>
            <w:r w:rsidDel="00000000" w:rsidR="00000000" w:rsidRPr="00000000">
              <w:rPr>
                <w:rtl w:val="0"/>
              </w:rPr>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 w:right="0" w:hanging="34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Las demás que le sean asignadas en el desarrollo del objeto contractual.</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rPr>
                <w:color w:val="000000"/>
              </w:rPr>
            </w:pPr>
            <w:r w:rsidDel="00000000" w:rsidR="00000000" w:rsidRPr="00000000">
              <w:rPr>
                <w:rtl w:val="0"/>
              </w:rPr>
            </w:r>
          </w:p>
          <w:p w:rsidR="00000000" w:rsidDel="00000000" w:rsidP="00000000" w:rsidRDefault="00000000" w:rsidRPr="00000000" w14:paraId="000000F4">
            <w:pPr>
              <w:rPr>
                <w:color w:val="000000"/>
              </w:rPr>
            </w:pPr>
            <w:r w:rsidDel="00000000" w:rsidR="00000000" w:rsidRPr="00000000">
              <w:rPr>
                <w:rtl w:val="0"/>
              </w:rPr>
            </w:r>
          </w:p>
          <w:p w:rsidR="00000000" w:rsidDel="00000000" w:rsidP="00000000" w:rsidRDefault="00000000" w:rsidRPr="00000000" w14:paraId="000000F5">
            <w:pPr>
              <w:rPr>
                <w:color w:val="000000"/>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 Realicé entrevistas a funcionarios y exsecretario del deporte y la recreación en el marco del desarrollo de las investigaciones propias del ODRAF y que tiene como propósito realizar la publicación conmemorativa de los 30 años del organismo y que visualizará la trayectoria de la Secretaría del Deporte y la Recreación desde su instalación a la actualidad y en la que se destacará los hitos más relevantes. (Ver anexo 1.1)</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 Acompañé el análisis y la validación de las bases de datos de los deportistas que podrían ser los potenciales beneficiarios de la tasa prodeporte, establecido en el Acuerdo Distrital No 530 de 2022. Dicha base de datos proporciona información relevante para la toma de decisiones sustentada en información y evidencias dando claridad sobre la posible selección de los beneficios. (Ver anexo 1.2)</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 Acompañé la elaboración de informe sobre la participación de la mujer en la oferta institucional como los programas, actividades, censos, entre otros como evidencia del cumplimiento de los indicadores de la política de mujer y género en la que la Secretaría del Deporte y la Recreación tiene responsabilidades. (Ver anexo 1.3)</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 Analicé las cifras y datos de las carreras realizadas por la subsecretaría de fomento del deporte y que mide los niveles de satisfacción de los participantes en los diferentes aspectos estandarizados y que se convierten en insumo de un estudio longitudinal favoreciendo la evaluación permanente y la decisión sobre los ajustes preventivos y correctivos para las siguientes versiones por parte de los responsables y operadores. (Ver anexo 1.4)</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1.5 Actualicé los instrumentos de captura de datos para la medición y estimación de los participantes en la Ciclovida del año 2025, preparando y coordinando las acciones de capacitación del personal de apoyo y la medición, y que con su procesamiento se estimará el número de participantes por jornada, orientado a que la información sea insumo para los tomadores de decisión y operadores del programa. (Ver anexo 1.5)</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2.1 Aporté insumos para la revisión y actualización de la información del plan estadístico territorial para el establecimiento de la capacidad estadística de la Secretaría del Deporte y la Recreación en términos de la producción, procesamiento y divulgación de la información estadística y la actualización de las operaciones estadísticas del organismo como parte del proceso estratégico del modelo de operación por proceso de la Alcaldía de Santiago de Cali. (Ver anexo 2.1)</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2.2. Gestioné insumos de información para dar respuesta a las proposiciones realizadas por el Concejo de Santiago de Cali al Secretario del deporte relacionadas con las acciones durante la administración y que tienden a dar claridad sobre la gestión permanente en materia de la construcción, adecuación mantenimiento y desarrollo del plan maestro de escenarios deportivos; la información de ejecuciones presupuestales y acciones legales; y, el desarrollo de los programas de la oferta institucional. (Ver anexo 2.2)</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2.3. Asistí al V congreso internacional de seguridad en el deporte y asistió al coordinador del observatorio del deporte, la recreación y la actividad física en su ponencia en sus ponencias tanto en la ciudad de Pereira (Universidad Tecnológica de Pereira) y en la ciudad de Santiago de Cali (Universidad San Buenaventura) y en la que se presentaron conceptos, cifras, datos e información sobre los entornos seguros de la investigación realizado por el ODRAF. (Ver anexo 2.3)</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2.4 Realicé ponencia en la Universidad del Valle con ocasión de la celebración de los 50 años de la Facultad de Educación Física y en la que presentó la importancia de los datos y las cifras para la toma de decisiones en el sector del deporte y se presentó la experiencia del ODRAF con el resultado de los estudios realizados frente a la maratón de Cali, media maratón, ciclovidas, carreras, y ciudadelas de la alegría y su impacto en el Cali, como Ciudad Deportiva. (Ver anexo 2.4)</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2.5. Brindé conferencia en la Escuela Nacional del Deporte y en la que se expuso la política pública del deporte, temas relacionados con la infraestructura deportiva y los programas de fomento del deporte. En el marco de la cooperación con la academia para la formación de estudiantes en contextos reales para los estudiantes de las carreras afines al deporte, la recreación y la actividad física. (Ver anexo 2.5)</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2.6. Atendí la visita de los estudiantes de la Universidad Antonio José Camacho en la que se presentaron temas relacionados con la formulación de proyectos, políticas públicas y la relevancia de las cifras y los datos para la toma de decisiones sustentados en evidencias, como parte de la articulación con dicha institución universitaria para el acercamiento al sector público. (Ver anexo 2.6)</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2.7. Atendí la visita de los estudiantes de la Universidad Distrital Francisco José de Caldas de la Ciudad de Bogotá y en la que se plantean temas relacionados con los modelos de administración de escenarios deportivos y la experiencia, trayectoria y aprendizajes del ODRAF en materia de estudios relacionados y como parte de la divulgación de la información de las investigaciones realizadas y el acercamiento con las universidades de otras ciudades referentes que ven a Cali como modelo de gestión. (Ver anexo 2.7)</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rPr>
            </w:pP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rPr>
            </w:pPr>
            <w:r w:rsidDel="00000000" w:rsidR="00000000" w:rsidRPr="00000000">
              <w:rPr>
                <w:rtl w:val="0"/>
              </w:rPr>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rPr>
            </w:pP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1" w:right="0" w:hanging="351"/>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 Estudié y analicé modelos de administración de instalaciones deportivas de América Latina para la exposición de los mismos a los equipos de administración de escenarios deportivos de Santiago de Cali y así generar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 Participé en reunión del concejo asesor del deporte y en la que se realizó la presentación por parte de los coordinadores y un análisis propositivo de los miembros del consejo de cada uno de ellos evaluando las condiciones, debilidades, fortalezas y oportunidades que cada uno de ellos genera para el mejoramiento de la oferta institucional como misionalidad del consejo. (Ver anexo 4.1)</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4.2. Apoyé con insumos de información en la preparación del conversatorio sobre las fuentes de financiamiento del deporte, en el marco de los inconvenientes que ha tenido el sector con la suplantación de recursos propios del deporte con tasa prodeporte cuando estos debieron ser complementarios y que han afectado el desarrollo y crecimiento del sector en varias ciudades del Colombia. (Ver anexo 4. 2)</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 Aporté a la sistematización de la experiencia del laboratorio de drones emprendido por el ODRAF como insumo de las investigaciones de este para la masificación del deporte y en especial de tendencias contemporáneas del deporte en el Distrito de Santiago de Cali. (Ver anexo 4.3)</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8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4.4. Realicé la revisión y actualización de los archivos del Observatorio del Deporte, la Recreación y la Actividad Física, los cuales fueron cargados al repositorio digital de la Secretaría del Deporte, con el propósito de fortalecer la memoria histórica y facilitar la gestión documental de la entidad. (Ver anexo 4.4)</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280" w:line="240" w:lineRule="auto"/>
              <w:ind w:left="352" w:right="0" w:hanging="352"/>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4.5. Revisé los diagnósticos sectoriales realizados por el Observatorio del Deporte, la Recreación y la Actividad Física para presentarlos a las comunidades para brindar informaciones en las reuniones del equipo de participación ciudadana y del secretario del deporte en sus visitas a los territorios. (Ver anexo 5.5)</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1222"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Las evidencias de lo relacionado se encuentran en el siguiente link: </w:t>
            </w:r>
          </w:p>
          <w:p w:rsidR="00000000" w:rsidDel="00000000" w:rsidP="00000000" w:rsidRDefault="00000000" w:rsidRPr="00000000" w14:paraId="00000112">
            <w:pPr>
              <w:widowControl w:val="1"/>
              <w:pBdr>
                <w:top w:space="0" w:sz="0" w:val="nil"/>
                <w:left w:space="0" w:sz="0" w:val="nil"/>
                <w:bottom w:space="0" w:sz="0" w:val="nil"/>
                <w:right w:space="0" w:sz="0" w:val="nil"/>
                <w:between w:space="0" w:sz="0" w:val="nil"/>
              </w:pBdr>
              <w:rPr/>
            </w:pPr>
            <w:hyperlink r:id="rId7">
              <w:r w:rsidDel="00000000" w:rsidR="00000000" w:rsidRPr="00000000">
                <w:rPr>
                  <w:color w:val="1155cc"/>
                  <w:u w:val="single"/>
                  <w:rtl w:val="0"/>
                </w:rPr>
                <w:t xml:space="preserve">https://drive.google.com/drive/u/0/folders/12zoMyYHdSfOcNMh5uFRuPBj5HNMQLNKw</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1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41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833.868664218177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574040</wp:posOffset>
                  </wp:positionH>
                  <wp:positionV relativeFrom="paragraph">
                    <wp:posOffset>-59054</wp:posOffset>
                  </wp:positionV>
                  <wp:extent cx="1449070" cy="1384935"/>
                  <wp:effectExtent b="196593" l="184544" r="184544" t="196593"/>
                  <wp:wrapNone/>
                  <wp:docPr id="163835508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rot="1128332">
                            <a:off x="0" y="0"/>
                            <a:ext cx="1449070" cy="1384935"/>
                          </a:xfrm>
                          <a:prstGeom prst="rect"/>
                          <a:ln/>
                        </pic:spPr>
                      </pic:pic>
                    </a:graphicData>
                  </a:graphic>
                </wp:anchor>
              </w:drawing>
            </w:r>
          </w:p>
        </w:tc>
      </w:tr>
      <w:tr>
        <w:trPr>
          <w:cantSplit w:val="0"/>
          <w:trHeight w:val="31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1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11C">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sz w:val="22"/>
                <w:szCs w:val="22"/>
                <w:rtl w:val="0"/>
              </w:rPr>
              <w:t xml:space="preserve">26/NOVIEMBRE/2025</w:t>
            </w:r>
            <w:r w:rsidDel="00000000" w:rsidR="00000000" w:rsidRPr="00000000">
              <w:rPr>
                <w:rtl w:val="0"/>
              </w:rPr>
            </w:r>
          </w:p>
        </w:tc>
      </w:tr>
    </w:tbl>
    <w:p w:rsidR="00000000" w:rsidDel="00000000" w:rsidP="00000000" w:rsidRDefault="00000000" w:rsidRPr="00000000" w14:paraId="0000011D">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2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12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1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2679CD"/>
    <w:rPr>
      <w:color w:val="0563c1" w:themeColor="hyperlink"/>
      <w:u w:val="single"/>
    </w:rPr>
  </w:style>
  <w:style w:type="character" w:styleId="Mencinsinresolver">
    <w:name w:val="Unresolved Mention"/>
    <w:basedOn w:val="Fuentedeprrafopredeter"/>
    <w:uiPriority w:val="99"/>
    <w:semiHidden w:val="1"/>
    <w:unhideWhenUsed w:val="1"/>
    <w:rsid w:val="002679CD"/>
    <w:rPr>
      <w:color w:val="605e5c"/>
      <w:shd w:color="auto" w:fill="e1dfdd" w:val="clear"/>
    </w:rPr>
  </w:style>
  <w:style w:type="table" w:styleId="a" w:customStyle="1">
    <w:basedOn w:val="TableNormal0"/>
    <w:tblPr>
      <w:tblStyleRowBandSize w:val="1"/>
      <w:tblStyleColBandSize w:val="1"/>
      <w:tblCellMar>
        <w:left w:w="22.0" w:type="dxa"/>
        <w:right w:w="22.0" w:type="dxa"/>
      </w:tblCellMar>
    </w:tblPr>
  </w:style>
  <w:style w:type="table" w:styleId="a0" w:customStyle="1">
    <w:basedOn w:val="TableNormal0"/>
    <w:tblPr>
      <w:tblStyleRowBandSize w:val="1"/>
      <w:tblStyleColBandSize w:val="1"/>
      <w:tblCellMar>
        <w:left w:w="115.0" w:type="dxa"/>
        <w:right w:w="115.0" w:type="dxa"/>
      </w:tblCellMar>
    </w:tblPr>
  </w:style>
  <w:style w:type="table" w:styleId="a1" w:customStyle="1">
    <w:basedOn w:val="TableNormal0"/>
    <w:tblPr>
      <w:tblStyleRowBandSize w:val="1"/>
      <w:tblStyleColBandSize w:val="1"/>
      <w:tblCellMar>
        <w:left w:w="22.0" w:type="dxa"/>
        <w:right w:w="22.0" w:type="dxa"/>
      </w:tblCellMar>
    </w:tblPr>
  </w:style>
  <w:style w:type="table" w:styleId="a2" w:customStyle="1">
    <w:basedOn w:val="TableNormal0"/>
    <w:tblPr>
      <w:tblStyleRowBandSize w:val="1"/>
      <w:tblStyleColBandSize w:val="1"/>
      <w:tblCellMar>
        <w:left w:w="115.0" w:type="dxa"/>
        <w:right w:w="115.0" w:type="dxa"/>
      </w:tblCellMar>
    </w:tblPr>
  </w:style>
  <w:style w:type="character" w:styleId="Hipervnculovisitado">
    <w:name w:val="FollowedHyperlink"/>
    <w:basedOn w:val="Fuentedeprrafopredeter"/>
    <w:uiPriority w:val="99"/>
    <w:semiHidden w:val="1"/>
    <w:unhideWhenUsed w:val="1"/>
    <w:rsid w:val="000F6891"/>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2zoMyYHdSfOcNMh5uFRuPBj5HNMQLNKw"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4d7228Fs6bY/waaw4sWEG42JMw==">CgMxLjA4AHIhMXgtTE1UTFZRVURrUEtfZ2xTWFVXWDZKTE9Sazl4cGpO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2025-06-12T20:15:00Z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